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6A0C5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AVIATION SCIENCE AND 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A0C5E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6A0C5E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Technologies in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 in </w:t>
            </w:r>
            <w:proofErr w:type="spellStart"/>
            <w:r>
              <w:t>depth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spellStart"/>
            <w:r>
              <w:t>width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synthesizing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gathered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of </w:t>
            </w:r>
            <w:proofErr w:type="spellStart"/>
            <w:r>
              <w:t>nanoscience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nanotechnology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in </w:t>
            </w:r>
            <w:proofErr w:type="spellStart"/>
            <w:r>
              <w:t>inter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multi-disciplinary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proficiency</w:t>
            </w:r>
            <w:proofErr w:type="spellEnd"/>
            <w:r>
              <w:t xml:space="preserve"> of </w:t>
            </w:r>
            <w:proofErr w:type="spellStart"/>
            <w:r>
              <w:t>interdependence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Designing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,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realistic</w:t>
            </w:r>
            <w:proofErr w:type="spellEnd"/>
            <w:r>
              <w:t xml:space="preserve"> </w:t>
            </w:r>
            <w:proofErr w:type="spellStart"/>
            <w:r>
              <w:t>constraints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innovative</w:t>
            </w:r>
            <w:proofErr w:type="spellEnd"/>
            <w:r>
              <w:t>/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Awareness</w:t>
            </w:r>
            <w:proofErr w:type="spellEnd"/>
            <w:r>
              <w:t xml:space="preserve"> of life-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reach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in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self </w:t>
            </w:r>
            <w:proofErr w:type="spellStart"/>
            <w:r>
              <w:t>improvement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in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oral </w:t>
            </w:r>
            <w:proofErr w:type="spellStart"/>
            <w:r>
              <w:t>forms</w:t>
            </w:r>
            <w:proofErr w:type="spellEnd"/>
            <w:r>
              <w:t xml:space="preserve"> in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Ability</w:t>
            </w:r>
            <w:proofErr w:type="spellEnd"/>
            <w:r>
              <w:t xml:space="preserve"> of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usage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E" w:rsidTr="006A0C5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Pr="002D2C96" w:rsidRDefault="006A0C5E" w:rsidP="006A0C5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C5E" w:rsidRDefault="006A0C5E" w:rsidP="006A0C5E">
            <w:pPr>
              <w:jc w:val="both"/>
            </w:pPr>
            <w:r>
              <w:t xml:space="preserve">Knowledge of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environmental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judicial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  <w:r>
              <w:t xml:space="preserve"> of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Technologies </w:t>
            </w:r>
            <w:proofErr w:type="spellStart"/>
            <w:r>
              <w:t>applications</w:t>
            </w:r>
            <w:proofErr w:type="spellEnd"/>
            <w:r>
              <w:t xml:space="preserve">, </w:t>
            </w:r>
            <w:proofErr w:type="spellStart"/>
            <w:r>
              <w:t>knowledge</w:t>
            </w:r>
            <w:proofErr w:type="spellEnd"/>
            <w:r>
              <w:t xml:space="preserve"> of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awareness</w:t>
            </w:r>
            <w:proofErr w:type="spellEnd"/>
            <w:r>
              <w:t xml:space="preserve"> of </w:t>
            </w:r>
            <w:proofErr w:type="spellStart"/>
            <w:r>
              <w:t>limitations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</w:t>
            </w:r>
            <w:proofErr w:type="spellStart"/>
            <w:r>
              <w:t>factors</w:t>
            </w:r>
            <w:proofErr w:type="spellEnd"/>
            <w:r>
              <w:t xml:space="preserve"> </w:t>
            </w:r>
            <w:proofErr w:type="spellStart"/>
            <w:r>
              <w:t>impose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0C5E" w:rsidRPr="002D2C96" w:rsidRDefault="006A0C5E" w:rsidP="006A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6A0C5E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98297B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0727-29FA-4893-B713-25C3452B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18</cp:revision>
  <dcterms:created xsi:type="dcterms:W3CDTF">2026-02-11T11:23:00Z</dcterms:created>
  <dcterms:modified xsi:type="dcterms:W3CDTF">2026-02-26T11:34:00Z</dcterms:modified>
</cp:coreProperties>
</file>